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1C55CAE4" w:rsidR="00F2358D" w:rsidRPr="00B41541"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#9</w:t>
      </w:r>
      <w:r w:rsidR="00C05737">
        <w:rPr>
          <w:rFonts w:ascii="Arial" w:hAnsi="Arial" w:cs="Arial"/>
          <w:b/>
          <w:noProof/>
          <w:sz w:val="24"/>
          <w:szCs w:val="24"/>
          <w:lang w:eastAsia="en-US"/>
        </w:rPr>
        <w:t>7</w:t>
      </w:r>
      <w:r w:rsidR="00C05737">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B16E86">
        <w:rPr>
          <w:rFonts w:ascii="Arial" w:hAnsi="Arial" w:cs="Arial"/>
          <w:b/>
          <w:noProof/>
          <w:sz w:val="24"/>
          <w:szCs w:val="24"/>
        </w:rPr>
        <w:t xml:space="preserve">           </w:t>
      </w:r>
      <w:r w:rsidRPr="00B41541">
        <w:rPr>
          <w:rFonts w:ascii="Arial" w:hAnsi="Arial" w:cs="Arial"/>
          <w:b/>
          <w:noProof/>
          <w:sz w:val="24"/>
          <w:szCs w:val="24"/>
          <w:lang w:eastAsia="en-US"/>
        </w:rPr>
        <w:t>R1-</w:t>
      </w:r>
      <w:r w:rsidR="00D3364C" w:rsidRPr="00D3364C">
        <w:rPr>
          <w:rFonts w:ascii="Arial" w:eastAsia="맑은 고딕" w:hAnsi="Arial" w:cs="Arial"/>
          <w:b/>
          <w:noProof/>
          <w:sz w:val="24"/>
          <w:szCs w:val="24"/>
          <w:lang w:eastAsia="ko-KR"/>
        </w:rPr>
        <w:t>190</w:t>
      </w:r>
      <w:r w:rsidR="004A4FFF" w:rsidRPr="004A4FFF">
        <w:rPr>
          <w:rFonts w:ascii="Arial" w:eastAsia="맑은 고딕" w:hAnsi="Arial" w:cs="Arial"/>
          <w:b/>
          <w:noProof/>
          <w:sz w:val="24"/>
          <w:szCs w:val="24"/>
          <w:lang w:eastAsia="ko-KR"/>
        </w:rPr>
        <w:t>7039</w:t>
      </w:r>
    </w:p>
    <w:p w14:paraId="6BB72191" w14:textId="52A5C1D5" w:rsidR="00F2358D" w:rsidRDefault="00C05737" w:rsidP="00F2358D">
      <w:pPr>
        <w:widowControl w:val="0"/>
        <w:tabs>
          <w:tab w:val="left" w:pos="1985"/>
        </w:tabs>
        <w:rPr>
          <w:rFonts w:ascii="Arial" w:hAnsi="Arial" w:cs="Arial"/>
          <w:b/>
          <w:sz w:val="24"/>
          <w:szCs w:val="24"/>
          <w:lang w:eastAsia="ko-KR"/>
        </w:rPr>
      </w:pPr>
      <w:r>
        <w:rPr>
          <w:rFonts w:ascii="Arial" w:eastAsia="MS Mincho" w:hAnsi="Arial" w:cs="Arial"/>
          <w:b/>
          <w:bCs/>
          <w:sz w:val="24"/>
          <w:szCs w:val="24"/>
        </w:rPr>
        <w:t>Reno</w:t>
      </w:r>
      <w:r w:rsidR="00F2358D" w:rsidRPr="000A1524">
        <w:rPr>
          <w:rFonts w:ascii="Arial" w:eastAsia="MS Mincho" w:hAnsi="Arial" w:cs="Arial"/>
          <w:b/>
          <w:bCs/>
          <w:sz w:val="24"/>
          <w:szCs w:val="24"/>
        </w:rPr>
        <w:t xml:space="preserve">, </w:t>
      </w:r>
      <w:r>
        <w:rPr>
          <w:rFonts w:ascii="Arial" w:eastAsia="MS Mincho" w:hAnsi="Arial" w:cs="Arial"/>
          <w:b/>
          <w:bCs/>
          <w:sz w:val="24"/>
          <w:szCs w:val="24"/>
        </w:rPr>
        <w:t>USA</w:t>
      </w:r>
      <w:r w:rsidR="00F2358D" w:rsidRPr="000A1524">
        <w:rPr>
          <w:rFonts w:ascii="Arial" w:eastAsia="MS Mincho" w:hAnsi="Arial" w:cs="Arial"/>
          <w:b/>
          <w:bCs/>
          <w:sz w:val="24"/>
          <w:szCs w:val="24"/>
        </w:rPr>
        <w:t xml:space="preserve">, </w:t>
      </w:r>
      <w:r>
        <w:rPr>
          <w:rFonts w:ascii="Arial" w:eastAsia="MS Mincho" w:hAnsi="Arial" w:cs="Arial"/>
          <w:b/>
          <w:bCs/>
          <w:sz w:val="24"/>
          <w:szCs w:val="24"/>
        </w:rPr>
        <w:t>May 13</w:t>
      </w:r>
      <w:r w:rsidR="00B16E86" w:rsidRPr="00B16E86">
        <w:rPr>
          <w:rFonts w:ascii="Arial" w:hAnsi="Arial" w:cs="Arial"/>
          <w:b/>
          <w:sz w:val="24"/>
          <w:szCs w:val="24"/>
          <w:vertAlign w:val="superscript"/>
          <w:lang w:eastAsia="ko-KR"/>
        </w:rPr>
        <w:t>th</w:t>
      </w:r>
      <w:r w:rsidR="00B16E86">
        <w:rPr>
          <w:rFonts w:ascii="Arial" w:hAnsi="Arial" w:cs="Arial"/>
          <w:b/>
          <w:sz w:val="24"/>
          <w:szCs w:val="24"/>
          <w:lang w:eastAsia="ko-KR"/>
        </w:rPr>
        <w:t xml:space="preserve"> </w:t>
      </w:r>
      <w:r w:rsidR="00CF5BF1">
        <w:rPr>
          <w:rFonts w:ascii="Arial" w:hAnsi="Arial" w:cs="Arial"/>
          <w:b/>
          <w:sz w:val="24"/>
          <w:szCs w:val="24"/>
          <w:lang w:eastAsia="ko-KR"/>
        </w:rPr>
        <w:t>-</w:t>
      </w:r>
      <w:r w:rsidR="00B16E86">
        <w:rPr>
          <w:rFonts w:ascii="Arial" w:hAnsi="Arial" w:cs="Arial"/>
          <w:b/>
          <w:sz w:val="24"/>
          <w:szCs w:val="24"/>
          <w:lang w:eastAsia="ko-KR"/>
        </w:rPr>
        <w:t xml:space="preserve"> 1</w:t>
      </w:r>
      <w:r>
        <w:rPr>
          <w:rFonts w:ascii="Arial" w:hAnsi="Arial" w:cs="Arial"/>
          <w:b/>
          <w:sz w:val="24"/>
          <w:szCs w:val="24"/>
          <w:lang w:eastAsia="ko-KR"/>
        </w:rPr>
        <w:t>7</w:t>
      </w:r>
      <w:r w:rsidR="00B16E86" w:rsidRPr="00B16E86">
        <w:rPr>
          <w:rFonts w:ascii="Arial" w:hAnsi="Arial" w:cs="Arial"/>
          <w:b/>
          <w:sz w:val="24"/>
          <w:szCs w:val="24"/>
          <w:vertAlign w:val="superscript"/>
          <w:lang w:eastAsia="ko-KR"/>
        </w:rPr>
        <w:t>th</w:t>
      </w:r>
      <w:r w:rsidR="00CF5BF1">
        <w:rPr>
          <w:rFonts w:ascii="Arial" w:hAnsi="Arial" w:cs="Arial"/>
          <w:b/>
          <w:sz w:val="24"/>
          <w:szCs w:val="24"/>
          <w:lang w:eastAsia="ko-KR"/>
        </w:rPr>
        <w:t>,</w:t>
      </w:r>
      <w:r w:rsidR="00F2358D">
        <w:rPr>
          <w:rFonts w:ascii="Arial" w:hAnsi="Arial" w:cs="Arial"/>
          <w:b/>
          <w:sz w:val="24"/>
          <w:szCs w:val="24"/>
          <w:lang w:eastAsia="ko-KR"/>
        </w:rPr>
        <w:t xml:space="preserve"> 201</w:t>
      </w:r>
      <w:r w:rsidR="00B16E86">
        <w:rPr>
          <w:rFonts w:ascii="Arial" w:hAnsi="Arial" w:cs="Arial"/>
          <w:b/>
          <w:sz w:val="24"/>
          <w:szCs w:val="24"/>
          <w:lang w:eastAsia="ko-KR"/>
        </w:rPr>
        <w:t>9</w:t>
      </w:r>
    </w:p>
    <w:p w14:paraId="6B8FA6CB" w14:textId="77777777" w:rsidR="00F2358D" w:rsidRPr="00C05737" w:rsidRDefault="00F2358D" w:rsidP="00F2358D">
      <w:pPr>
        <w:widowControl w:val="0"/>
        <w:tabs>
          <w:tab w:val="left" w:pos="1985"/>
        </w:tabs>
        <w:rPr>
          <w:rFonts w:ascii="Arial" w:hAnsi="Arial" w:cs="Arial"/>
          <w:b/>
          <w:sz w:val="24"/>
          <w:szCs w:val="24"/>
          <w:lang w:eastAsia="ko-KR"/>
        </w:rPr>
      </w:pPr>
      <w:bookmarkStart w:id="2" w:name="_GoBack"/>
      <w:bookmarkEnd w:id="2"/>
    </w:p>
    <w:p w14:paraId="00FEA1FA" w14:textId="77777777"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43989A69" w14:textId="582255C0" w:rsidR="00F2358D" w:rsidRPr="00B41541" w:rsidRDefault="00F2358D" w:rsidP="00F2358D">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DA1914" w:rsidRPr="00DA1914">
        <w:rPr>
          <w:rFonts w:cs="Arial"/>
          <w:b/>
          <w:sz w:val="24"/>
          <w:szCs w:val="24"/>
          <w:lang w:eastAsia="ko-KR"/>
        </w:rPr>
        <w:t>Considerations on uplink timing advance and RACH procedure for NTN</w:t>
      </w:r>
    </w:p>
    <w:p w14:paraId="50687687" w14:textId="50CE7526"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2</w:t>
      </w:r>
      <w:r w:rsidR="00B16E86">
        <w:rPr>
          <w:rFonts w:cs="Arial"/>
          <w:b/>
          <w:sz w:val="24"/>
          <w:szCs w:val="24"/>
          <w:lang w:eastAsia="ko-KR"/>
        </w:rPr>
        <w:t>.5.</w:t>
      </w:r>
      <w:r w:rsidR="00831354">
        <w:rPr>
          <w:rFonts w:cs="Arial"/>
          <w:b/>
          <w:sz w:val="24"/>
          <w:szCs w:val="24"/>
          <w:lang w:eastAsia="ko-KR"/>
        </w:rPr>
        <w:t>3</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920CF3" w14:textId="52DCEEE5" w:rsidR="00A57086" w:rsidRDefault="00C544E0" w:rsidP="00931B06">
      <w:pPr>
        <w:rPr>
          <w:szCs w:val="22"/>
          <w:lang w:eastAsia="ko-KR"/>
        </w:rPr>
      </w:pPr>
      <w:r w:rsidRPr="009A2828">
        <w:rPr>
          <w:rFonts w:hint="eastAsia"/>
          <w:szCs w:val="22"/>
          <w:lang w:eastAsia="ko-KR"/>
        </w:rPr>
        <w:t>[1]</w:t>
      </w:r>
      <w:r w:rsidR="00314121" w:rsidRPr="009A2828">
        <w:rPr>
          <w:szCs w:val="22"/>
          <w:lang w:eastAsia="ko-KR"/>
        </w:rPr>
        <w:t xml:space="preserve"> considers</w:t>
      </w:r>
      <w:r w:rsidRPr="009A2828">
        <w:rPr>
          <w:rFonts w:hint="eastAsia"/>
          <w:szCs w:val="22"/>
          <w:lang w:eastAsia="ko-KR"/>
        </w:rPr>
        <w:t xml:space="preserve"> </w:t>
      </w:r>
      <w:r w:rsidRPr="009A2828">
        <w:rPr>
          <w:szCs w:val="22"/>
          <w:lang w:eastAsia="ko-KR"/>
        </w:rPr>
        <w:t>various potential key impact areas on NR to support NTN.</w:t>
      </w:r>
      <w:r w:rsidR="002D4B28">
        <w:rPr>
          <w:szCs w:val="22"/>
          <w:lang w:eastAsia="ko-KR"/>
        </w:rPr>
        <w:t xml:space="preserve"> </w:t>
      </w:r>
      <w:r w:rsidR="00D80FC0" w:rsidRPr="00D80FC0">
        <w:rPr>
          <w:szCs w:val="22"/>
          <w:lang w:eastAsia="ko-KR"/>
        </w:rPr>
        <w:t>Based on [</w:t>
      </w:r>
      <w:r w:rsidR="00793232">
        <w:rPr>
          <w:szCs w:val="22"/>
          <w:lang w:eastAsia="ko-KR"/>
        </w:rPr>
        <w:t>1</w:t>
      </w:r>
      <w:r w:rsidR="00D80FC0" w:rsidRPr="00D80FC0">
        <w:rPr>
          <w:szCs w:val="22"/>
          <w:lang w:eastAsia="ko-KR"/>
        </w:rPr>
        <w:t>], propagation delay can be composed of common delay and differential delay</w:t>
      </w:r>
      <w:r w:rsidR="003F308D">
        <w:rPr>
          <w:szCs w:val="22"/>
          <w:lang w:eastAsia="ko-KR"/>
        </w:rPr>
        <w:t xml:space="preserve"> as shown</w:t>
      </w:r>
      <w:r w:rsidR="009A2828">
        <w:rPr>
          <w:szCs w:val="22"/>
          <w:lang w:eastAsia="ko-KR"/>
        </w:rPr>
        <w:t xml:space="preserve"> in</w:t>
      </w:r>
      <w:r w:rsidR="00BF28A0">
        <w:rPr>
          <w:szCs w:val="22"/>
          <w:lang w:eastAsia="ko-KR"/>
        </w:rPr>
        <w:t xml:space="preserve"> </w:t>
      </w:r>
      <w:r w:rsidR="00BF28A0" w:rsidRPr="00BF28A0">
        <w:rPr>
          <w:szCs w:val="22"/>
          <w:lang w:eastAsia="ko-KR"/>
        </w:rPr>
        <w:fldChar w:fldCharType="begin"/>
      </w:r>
      <w:r w:rsidR="00BF28A0" w:rsidRPr="00BF28A0">
        <w:rPr>
          <w:szCs w:val="22"/>
          <w:lang w:eastAsia="ko-KR"/>
        </w:rPr>
        <w:instrText xml:space="preserve"> REF _Ref7787743 \h  \* MERGEFORMAT </w:instrText>
      </w:r>
      <w:r w:rsidR="00BF28A0" w:rsidRPr="00BF28A0">
        <w:rPr>
          <w:szCs w:val="22"/>
          <w:lang w:eastAsia="ko-KR"/>
        </w:rPr>
      </w:r>
      <w:r w:rsidR="00BF28A0" w:rsidRPr="00BF28A0">
        <w:rPr>
          <w:szCs w:val="22"/>
          <w:lang w:eastAsia="ko-KR"/>
        </w:rPr>
        <w:fldChar w:fldCharType="separate"/>
      </w:r>
      <w:r w:rsidR="00BF28A0" w:rsidRPr="00BF28A0">
        <w:t xml:space="preserve">Fig </w:t>
      </w:r>
      <w:r w:rsidR="00BF28A0" w:rsidRPr="00BF28A0">
        <w:rPr>
          <w:noProof/>
        </w:rPr>
        <w:t>1</w:t>
      </w:r>
      <w:r w:rsidR="00BF28A0" w:rsidRPr="00BF28A0">
        <w:rPr>
          <w:szCs w:val="22"/>
          <w:lang w:eastAsia="ko-KR"/>
        </w:rPr>
        <w:fldChar w:fldCharType="end"/>
      </w:r>
      <w:r w:rsidR="00D80FC0" w:rsidRPr="00D80FC0">
        <w:rPr>
          <w:szCs w:val="22"/>
          <w:lang w:eastAsia="ko-KR"/>
        </w:rPr>
        <w:t>.</w:t>
      </w:r>
      <w:r w:rsidR="00793232">
        <w:rPr>
          <w:szCs w:val="22"/>
          <w:lang w:eastAsia="ko-KR"/>
        </w:rPr>
        <w:t xml:space="preserve"> </w:t>
      </w:r>
    </w:p>
    <w:p w14:paraId="071523B3" w14:textId="77777777" w:rsidR="00A57086" w:rsidRDefault="00A57086" w:rsidP="00931B06">
      <w:pPr>
        <w:rPr>
          <w:szCs w:val="22"/>
          <w:lang w:eastAsia="ko-KR"/>
        </w:rPr>
      </w:pPr>
    </w:p>
    <w:p w14:paraId="49433995" w14:textId="77777777" w:rsidR="00BF28A0" w:rsidRDefault="00A57086" w:rsidP="00BF28A0">
      <w:pPr>
        <w:keepNext/>
        <w:jc w:val="center"/>
      </w:pPr>
      <w:r>
        <w:rPr>
          <w:noProof/>
          <w:szCs w:val="22"/>
          <w:lang w:eastAsia="ko-KR"/>
        </w:rPr>
        <w:drawing>
          <wp:inline distT="0" distB="0" distL="0" distR="0" wp14:anchorId="1378349E" wp14:editId="7CA6039C">
            <wp:extent cx="1965278" cy="1593018"/>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7380" cy="1619039"/>
                    </a:xfrm>
                    <a:prstGeom prst="rect">
                      <a:avLst/>
                    </a:prstGeom>
                    <a:noFill/>
                  </pic:spPr>
                </pic:pic>
              </a:graphicData>
            </a:graphic>
          </wp:inline>
        </w:drawing>
      </w:r>
    </w:p>
    <w:p w14:paraId="213C3829" w14:textId="7AEAE38B" w:rsidR="00A57086" w:rsidRPr="00BF28A0" w:rsidRDefault="00BF28A0" w:rsidP="00BF28A0">
      <w:pPr>
        <w:pStyle w:val="ad"/>
        <w:jc w:val="center"/>
        <w:rPr>
          <w:b w:val="0"/>
        </w:rPr>
      </w:pPr>
      <w:bookmarkStart w:id="3" w:name="_Ref7787743"/>
      <w:r w:rsidRPr="00BF28A0">
        <w:rPr>
          <w:b w:val="0"/>
        </w:rPr>
        <w:t xml:space="preserve">Fig </w:t>
      </w:r>
      <w:r w:rsidRPr="00BF28A0">
        <w:rPr>
          <w:b w:val="0"/>
        </w:rPr>
        <w:fldChar w:fldCharType="begin"/>
      </w:r>
      <w:r w:rsidRPr="00BF28A0">
        <w:rPr>
          <w:b w:val="0"/>
        </w:rPr>
        <w:instrText xml:space="preserve"> SEQ Fig \* ARABIC </w:instrText>
      </w:r>
      <w:r w:rsidRPr="00BF28A0">
        <w:rPr>
          <w:b w:val="0"/>
        </w:rPr>
        <w:fldChar w:fldCharType="separate"/>
      </w:r>
      <w:r>
        <w:rPr>
          <w:b w:val="0"/>
          <w:noProof/>
        </w:rPr>
        <w:t>1</w:t>
      </w:r>
      <w:r w:rsidRPr="00BF28A0">
        <w:rPr>
          <w:b w:val="0"/>
        </w:rPr>
        <w:fldChar w:fldCharType="end"/>
      </w:r>
      <w:bookmarkEnd w:id="3"/>
      <w:r w:rsidRPr="00BF28A0">
        <w:rPr>
          <w:b w:val="0"/>
        </w:rPr>
        <w:t>. C</w:t>
      </w:r>
      <w:r w:rsidRPr="00BF28A0">
        <w:rPr>
          <w:rFonts w:hint="eastAsia"/>
          <w:b w:val="0"/>
          <w:lang w:eastAsia="ko-KR"/>
        </w:rPr>
        <w:t xml:space="preserve">ommon </w:t>
      </w:r>
      <w:r w:rsidRPr="00BF28A0">
        <w:rPr>
          <w:b w:val="0"/>
          <w:lang w:eastAsia="ko-KR"/>
        </w:rPr>
        <w:t xml:space="preserve">delay </w:t>
      </w:r>
      <w:r w:rsidRPr="00BF28A0">
        <w:rPr>
          <w:rFonts w:hint="eastAsia"/>
          <w:b w:val="0"/>
          <w:lang w:eastAsia="ko-KR"/>
        </w:rPr>
        <w:t>and differential delay</w:t>
      </w:r>
      <w:r w:rsidRPr="00BF28A0">
        <w:rPr>
          <w:b w:val="0"/>
          <w:lang w:eastAsia="ko-KR"/>
        </w:rPr>
        <w:t xml:space="preserve"> according to UE location</w:t>
      </w:r>
    </w:p>
    <w:p w14:paraId="775E458A" w14:textId="77777777" w:rsidR="00A57086" w:rsidRDefault="00A57086" w:rsidP="00931B06">
      <w:pPr>
        <w:rPr>
          <w:szCs w:val="22"/>
          <w:lang w:eastAsia="ko-KR"/>
        </w:rPr>
      </w:pPr>
    </w:p>
    <w:p w14:paraId="35C43C4C" w14:textId="228D2FD6" w:rsidR="00931B06" w:rsidRDefault="00793232" w:rsidP="00931B06">
      <w:pPr>
        <w:rPr>
          <w:szCs w:val="22"/>
          <w:lang w:eastAsia="ko-KR"/>
        </w:rPr>
      </w:pPr>
      <w:r>
        <w:rPr>
          <w:szCs w:val="22"/>
          <w:lang w:eastAsia="ko-KR"/>
        </w:rPr>
        <w:t>T</w:t>
      </w:r>
      <w:r w:rsidR="00931B06" w:rsidRPr="00083BEF">
        <w:rPr>
          <w:szCs w:val="22"/>
          <w:lang w:eastAsia="ko-KR"/>
        </w:rPr>
        <w:t>he following has been agreed on RAN2 # 105</w:t>
      </w:r>
      <w:r w:rsidR="00931B06">
        <w:rPr>
          <w:szCs w:val="22"/>
          <w:lang w:eastAsia="ko-KR"/>
        </w:rPr>
        <w:t xml:space="preserve"> [2]</w:t>
      </w:r>
      <w:r w:rsidR="00931B06" w:rsidRPr="00083BEF">
        <w:rPr>
          <w:szCs w:val="22"/>
          <w:lang w:eastAsia="ko-KR"/>
        </w:rPr>
        <w:t>.</w:t>
      </w:r>
      <w:r>
        <w:rPr>
          <w:szCs w:val="22"/>
          <w:lang w:eastAsia="ko-KR"/>
        </w:rPr>
        <w:t xml:space="preserve"> </w:t>
      </w:r>
    </w:p>
    <w:p w14:paraId="4449F4B1" w14:textId="77777777" w:rsidR="00931B06" w:rsidRPr="00083BEF" w:rsidRDefault="00931B06" w:rsidP="00931B06">
      <w:pPr>
        <w:rPr>
          <w:szCs w:val="22"/>
          <w:lang w:eastAsia="ko-KR"/>
        </w:rPr>
      </w:pPr>
    </w:p>
    <w:p w14:paraId="643D1645" w14:textId="77777777" w:rsidR="00931B06" w:rsidRPr="008C0D24" w:rsidRDefault="00931B06" w:rsidP="00931B06">
      <w:pPr>
        <w:pStyle w:val="Doc-text2"/>
        <w:pBdr>
          <w:top w:val="single" w:sz="4" w:space="1" w:color="auto"/>
          <w:left w:val="single" w:sz="4" w:space="0" w:color="auto"/>
          <w:bottom w:val="single" w:sz="4" w:space="1" w:color="auto"/>
          <w:right w:val="single" w:sz="4" w:space="0" w:color="auto"/>
        </w:pBdr>
        <w:ind w:leftChars="100" w:left="583"/>
        <w:rPr>
          <w:b/>
        </w:rPr>
      </w:pPr>
      <w:r w:rsidRPr="008C0D24">
        <w:rPr>
          <w:b/>
        </w:rPr>
        <w:t>Agreements:</w:t>
      </w:r>
    </w:p>
    <w:p w14:paraId="168C4B75" w14:textId="7BF91057" w:rsidR="00931B06" w:rsidRPr="008C0D24"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w:t>
      </w:r>
    </w:p>
    <w:p w14:paraId="1F377AAF" w14:textId="4AD7763C" w:rsidR="00931B06"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The </w:t>
      </w:r>
      <w:proofErr w:type="spellStart"/>
      <w:r w:rsidRPr="008C0D24">
        <w:t>ra-ResponseWindow</w:t>
      </w:r>
      <w:proofErr w:type="spellEnd"/>
      <w:r w:rsidRPr="008C0D24">
        <w:t xml:space="preserve"> should be modified to support NTN.</w:t>
      </w:r>
    </w:p>
    <w:p w14:paraId="022EFAE3" w14:textId="264D28C2" w:rsidR="002D4B28"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Introduce an offset for the start of the </w:t>
      </w:r>
      <w:proofErr w:type="spellStart"/>
      <w:r w:rsidRPr="008C0D24">
        <w:t>ra-ResponseWindow</w:t>
      </w:r>
      <w:proofErr w:type="spellEnd"/>
      <w:r w:rsidRPr="008C0D24">
        <w:t xml:space="preserve"> for NTN. The offset shall be configurable to accommodate different scenarios.</w:t>
      </w:r>
    </w:p>
    <w:p w14:paraId="79215285" w14:textId="386A18EA" w:rsidR="002D4B28" w:rsidRPr="008C0D24"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RAN2 will study if other than delaying the start of </w:t>
      </w:r>
      <w:proofErr w:type="spellStart"/>
      <w:r w:rsidRPr="008C0D24">
        <w:t>ra-ResponseWindow</w:t>
      </w:r>
      <w:proofErr w:type="spellEnd"/>
      <w:r w:rsidRPr="008C0D24">
        <w:t xml:space="preserve"> an extension of </w:t>
      </w:r>
      <w:proofErr w:type="spellStart"/>
      <w:r w:rsidRPr="008C0D24">
        <w:t>ra-ResponseWindow</w:t>
      </w:r>
      <w:proofErr w:type="spellEnd"/>
      <w:r w:rsidRPr="008C0D24">
        <w:t xml:space="preserve"> is needed to support NTN.</w:t>
      </w:r>
    </w:p>
    <w:p w14:paraId="48CC6EE3" w14:textId="43EFA2AA" w:rsidR="00931B06" w:rsidRPr="00931B06" w:rsidRDefault="00931B06" w:rsidP="0003686A">
      <w:pPr>
        <w:rPr>
          <w:szCs w:val="22"/>
          <w:lang w:val="x-none" w:eastAsia="ko-KR"/>
        </w:rPr>
      </w:pPr>
    </w:p>
    <w:p w14:paraId="544FA426" w14:textId="6054A897" w:rsidR="00793232" w:rsidRDefault="00793232" w:rsidP="0003686A">
      <w:pPr>
        <w:rPr>
          <w:szCs w:val="22"/>
          <w:lang w:eastAsia="ko-KR"/>
        </w:rPr>
      </w:pPr>
      <w:r>
        <w:rPr>
          <w:szCs w:val="22"/>
          <w:lang w:eastAsia="ko-KR"/>
        </w:rPr>
        <w:t>In addition, [3] in RAN1#96bis is discussing the following items.</w:t>
      </w:r>
    </w:p>
    <w:p w14:paraId="2AD48C10" w14:textId="3D3B1EC4" w:rsidR="00793232" w:rsidRDefault="00793232" w:rsidP="0003686A">
      <w:pPr>
        <w:rPr>
          <w:szCs w:val="22"/>
          <w:lang w:eastAsia="ko-KR"/>
        </w:rPr>
      </w:pPr>
    </w:p>
    <w:p w14:paraId="71AACDA5" w14:textId="77777777" w:rsidR="00793232" w:rsidRDefault="00793232" w:rsidP="00793232">
      <w:pPr>
        <w:snapToGrid w:val="0"/>
        <w:rPr>
          <w:b/>
          <w:i/>
          <w:lang w:eastAsia="zh-CN"/>
        </w:rPr>
      </w:pPr>
      <w:r>
        <w:rPr>
          <w:rFonts w:hint="eastAsia"/>
          <w:b/>
          <w:i/>
          <w:lang w:eastAsia="zh-CN"/>
        </w:rPr>
        <w:t>P</w:t>
      </w:r>
      <w:r>
        <w:rPr>
          <w:b/>
          <w:i/>
          <w:lang w:eastAsia="zh-CN"/>
        </w:rPr>
        <w:t xml:space="preserve">roposal 1: </w:t>
      </w:r>
      <w:r>
        <w:rPr>
          <w:i/>
          <w:lang w:eastAsia="zh-CN"/>
        </w:rPr>
        <w:t>Options</w:t>
      </w:r>
      <w:r w:rsidRPr="00371BB0">
        <w:rPr>
          <w:i/>
          <w:lang w:eastAsia="zh-CN"/>
        </w:rPr>
        <w:t xml:space="preserve"> </w:t>
      </w:r>
      <w:r>
        <w:rPr>
          <w:i/>
          <w:lang w:eastAsia="zh-CN"/>
        </w:rPr>
        <w:t xml:space="preserve">listed below </w:t>
      </w:r>
      <w:r w:rsidRPr="00371BB0">
        <w:rPr>
          <w:i/>
          <w:lang w:eastAsia="zh-CN"/>
        </w:rPr>
        <w:t>on</w:t>
      </w:r>
      <w:r>
        <w:rPr>
          <w:i/>
          <w:lang w:eastAsia="zh-CN"/>
        </w:rPr>
        <w:t xml:space="preserve"> the</w:t>
      </w:r>
      <w:r w:rsidRPr="00371BB0">
        <w:rPr>
          <w:i/>
          <w:lang w:eastAsia="zh-CN"/>
        </w:rPr>
        <w:t xml:space="preserve"> acquisition of </w:t>
      </w:r>
      <w:r>
        <w:rPr>
          <w:i/>
          <w:lang w:eastAsia="zh-CN"/>
        </w:rPr>
        <w:t xml:space="preserve">initial </w:t>
      </w:r>
      <w:r w:rsidRPr="00371BB0">
        <w:rPr>
          <w:i/>
          <w:lang w:eastAsia="zh-CN"/>
        </w:rPr>
        <w:t xml:space="preserve">TA information for </w:t>
      </w:r>
      <w:r>
        <w:rPr>
          <w:i/>
          <w:lang w:eastAsia="zh-CN"/>
        </w:rPr>
        <w:t xml:space="preserve">UL transmission can </w:t>
      </w:r>
      <w:r w:rsidRPr="00371BB0">
        <w:rPr>
          <w:i/>
          <w:lang w:eastAsia="zh-CN"/>
        </w:rPr>
        <w:t xml:space="preserve">be </w:t>
      </w:r>
      <w:r>
        <w:rPr>
          <w:i/>
          <w:lang w:eastAsia="zh-CN"/>
        </w:rPr>
        <w:t>studied</w:t>
      </w:r>
      <w:r w:rsidRPr="00D10F3E">
        <w:rPr>
          <w:i/>
          <w:lang w:eastAsia="zh-CN"/>
        </w:rPr>
        <w:t xml:space="preserve"> </w:t>
      </w:r>
      <w:r w:rsidRPr="00CA27FF">
        <w:rPr>
          <w:i/>
          <w:lang w:eastAsia="zh-CN"/>
        </w:rPr>
        <w:t>in NTN</w:t>
      </w:r>
      <w:r w:rsidRPr="00371BB0">
        <w:rPr>
          <w:i/>
          <w:lang w:eastAsia="zh-CN"/>
        </w:rPr>
        <w:t>:</w:t>
      </w:r>
    </w:p>
    <w:p w14:paraId="40A03937" w14:textId="31BC16E8" w:rsidR="00793232" w:rsidRPr="00400DD0" w:rsidRDefault="00793232" w:rsidP="00A57086">
      <w:pPr>
        <w:snapToGrid w:val="0"/>
        <w:ind w:firstLineChars="150" w:firstLine="330"/>
        <w:rPr>
          <w:i/>
        </w:rPr>
      </w:pPr>
      <w:r w:rsidRPr="0021319E">
        <w:rPr>
          <w:i/>
          <w:lang w:eastAsia="zh-CN"/>
        </w:rPr>
        <w:t xml:space="preserve">Option 1: </w:t>
      </w:r>
      <w:r w:rsidRPr="00502F63">
        <w:rPr>
          <w:i/>
          <w:lang w:eastAsia="zh-CN"/>
        </w:rPr>
        <w:t xml:space="preserve">Indication of common TA to </w:t>
      </w:r>
      <w:r w:rsidRPr="00502F63">
        <w:rPr>
          <w:i/>
        </w:rPr>
        <w:t>all users within the coverage of same beam</w:t>
      </w:r>
      <w:r w:rsidRPr="00400DD0">
        <w:rPr>
          <w:i/>
        </w:rPr>
        <w:t xml:space="preserve"> with</w:t>
      </w:r>
      <w:r>
        <w:rPr>
          <w:i/>
        </w:rPr>
        <w:t xml:space="preserve"> following</w:t>
      </w:r>
    </w:p>
    <w:p w14:paraId="5DBFB9A3" w14:textId="77777777" w:rsidR="00793232" w:rsidRPr="00371BB0" w:rsidRDefault="00793232" w:rsidP="00793232">
      <w:pPr>
        <w:pStyle w:val="afb"/>
        <w:numPr>
          <w:ilvl w:val="1"/>
          <w:numId w:val="11"/>
        </w:numPr>
        <w:snapToGrid w:val="0"/>
        <w:spacing w:line="240" w:lineRule="auto"/>
        <w:ind w:leftChars="0"/>
        <w:rPr>
          <w:i/>
          <w:lang w:eastAsia="zh-CN"/>
        </w:rPr>
      </w:pPr>
      <w:r w:rsidRPr="000E4F3C">
        <w:rPr>
          <w:rFonts w:eastAsia="SimSun" w:hint="eastAsia"/>
          <w:i/>
          <w:sz w:val="20"/>
          <w:lang w:val="en-GB" w:eastAsia="zh-CN"/>
        </w:rPr>
        <w:t>A</w:t>
      </w:r>
      <w:r w:rsidRPr="000E4F3C">
        <w:rPr>
          <w:rFonts w:eastAsia="SimSun"/>
          <w:i/>
          <w:sz w:val="20"/>
          <w:lang w:val="en-GB" w:eastAsia="zh-CN"/>
        </w:rPr>
        <w:t>dditional UE-specific TA indicated in RAR</w:t>
      </w:r>
    </w:p>
    <w:p w14:paraId="1F418712" w14:textId="77777777" w:rsidR="00793232" w:rsidRPr="00371BB0" w:rsidRDefault="00793232" w:rsidP="00793232">
      <w:pPr>
        <w:pStyle w:val="afb"/>
        <w:numPr>
          <w:ilvl w:val="1"/>
          <w:numId w:val="11"/>
        </w:numPr>
        <w:snapToGrid w:val="0"/>
        <w:spacing w:line="240" w:lineRule="auto"/>
        <w:ind w:leftChars="0"/>
        <w:rPr>
          <w:i/>
          <w:lang w:eastAsia="zh-CN"/>
        </w:rPr>
      </w:pPr>
      <w:r w:rsidRPr="00502F63">
        <w:rPr>
          <w:rFonts w:eastAsia="SimSun"/>
          <w:i/>
          <w:sz w:val="20"/>
          <w:lang w:val="en-GB" w:eastAsia="zh-CN"/>
        </w:rPr>
        <w:t xml:space="preserve">FFS on the </w:t>
      </w:r>
      <w:r>
        <w:rPr>
          <w:rFonts w:eastAsia="SimSun"/>
          <w:i/>
          <w:sz w:val="20"/>
          <w:lang w:val="en-GB" w:eastAsia="zh-CN"/>
        </w:rPr>
        <w:t xml:space="preserve">reference location for </w:t>
      </w:r>
      <w:r w:rsidRPr="00502F63">
        <w:rPr>
          <w:rFonts w:eastAsia="SimSun"/>
          <w:i/>
          <w:sz w:val="20"/>
          <w:lang w:val="en-GB" w:eastAsia="zh-CN"/>
        </w:rPr>
        <w:t>common TA</w:t>
      </w:r>
      <w:r>
        <w:rPr>
          <w:rFonts w:eastAsia="SimSun"/>
          <w:i/>
          <w:sz w:val="20"/>
          <w:lang w:val="en-GB" w:eastAsia="zh-CN"/>
        </w:rPr>
        <w:t xml:space="preserve"> calculation</w:t>
      </w:r>
    </w:p>
    <w:p w14:paraId="2FE783C0" w14:textId="77777777" w:rsidR="00793232" w:rsidRPr="00371BB0" w:rsidRDefault="00793232" w:rsidP="00793232">
      <w:pPr>
        <w:pStyle w:val="afb"/>
        <w:numPr>
          <w:ilvl w:val="1"/>
          <w:numId w:val="11"/>
        </w:numPr>
        <w:snapToGrid w:val="0"/>
        <w:spacing w:line="240" w:lineRule="auto"/>
        <w:ind w:leftChars="0"/>
        <w:rPr>
          <w:i/>
          <w:lang w:eastAsia="zh-CN"/>
        </w:rPr>
      </w:pPr>
      <w:r>
        <w:rPr>
          <w:rFonts w:eastAsia="SimSun"/>
          <w:i/>
          <w:sz w:val="20"/>
          <w:lang w:val="en-GB" w:eastAsia="zh-CN"/>
        </w:rPr>
        <w:t>FFS on the signalling for common TA indication</w:t>
      </w:r>
    </w:p>
    <w:p w14:paraId="5FB617CB" w14:textId="77777777" w:rsidR="00793232" w:rsidRPr="00371BB0" w:rsidRDefault="00793232" w:rsidP="00793232">
      <w:pPr>
        <w:pStyle w:val="afb"/>
        <w:numPr>
          <w:ilvl w:val="1"/>
          <w:numId w:val="11"/>
        </w:numPr>
        <w:snapToGrid w:val="0"/>
        <w:spacing w:line="240" w:lineRule="auto"/>
        <w:ind w:leftChars="0"/>
        <w:rPr>
          <w:i/>
          <w:lang w:eastAsia="zh-CN"/>
        </w:rPr>
      </w:pPr>
      <w:r>
        <w:rPr>
          <w:rFonts w:eastAsia="SimSun"/>
          <w:i/>
          <w:sz w:val="20"/>
          <w:lang w:val="en-GB" w:eastAsia="zh-CN"/>
        </w:rPr>
        <w:lastRenderedPageBreak/>
        <w:t xml:space="preserve">FFS </w:t>
      </w:r>
      <w:r>
        <w:rPr>
          <w:rFonts w:eastAsia="SimSun" w:hint="eastAsia"/>
          <w:i/>
          <w:sz w:val="20"/>
          <w:lang w:val="en-GB" w:eastAsia="zh-CN"/>
        </w:rPr>
        <w:t>o</w:t>
      </w:r>
      <w:r>
        <w:rPr>
          <w:rFonts w:eastAsia="SimSun"/>
          <w:i/>
          <w:sz w:val="20"/>
          <w:lang w:val="en-GB" w:eastAsia="zh-CN"/>
        </w:rPr>
        <w:t xml:space="preserve">n the extension of existing </w:t>
      </w:r>
      <w:r w:rsidRPr="000E4F3C">
        <w:rPr>
          <w:rFonts w:eastAsia="SimSun"/>
          <w:i/>
          <w:sz w:val="20"/>
          <w:lang w:val="en-GB" w:eastAsia="zh-CN"/>
        </w:rPr>
        <w:t>TA range</w:t>
      </w:r>
      <w:r>
        <w:rPr>
          <w:rFonts w:eastAsia="SimSun"/>
          <w:i/>
          <w:sz w:val="20"/>
          <w:lang w:val="en-GB" w:eastAsia="zh-CN"/>
        </w:rPr>
        <w:t xml:space="preserve"> indicated in RAR</w:t>
      </w:r>
    </w:p>
    <w:p w14:paraId="67BBA5AE" w14:textId="19A1A522" w:rsidR="00793232" w:rsidRDefault="00793232" w:rsidP="00A57086">
      <w:pPr>
        <w:snapToGrid w:val="0"/>
        <w:ind w:leftChars="150" w:left="1320" w:hangingChars="450" w:hanging="990"/>
        <w:mirrorIndents/>
        <w:rPr>
          <w:i/>
          <w:lang w:eastAsia="zh-CN"/>
        </w:rPr>
      </w:pPr>
      <w:r w:rsidRPr="00371BB0">
        <w:rPr>
          <w:i/>
          <w:lang w:eastAsia="zh-CN"/>
        </w:rPr>
        <w:t xml:space="preserve">Option 2: Autonomous acquisition of the TA by the UE </w:t>
      </w:r>
      <w:r w:rsidRPr="00502F63">
        <w:rPr>
          <w:i/>
          <w:lang w:eastAsia="zh-CN"/>
        </w:rPr>
        <w:t xml:space="preserve">with </w:t>
      </w:r>
      <w:r w:rsidRPr="00400DD0">
        <w:rPr>
          <w:i/>
          <w:lang w:eastAsia="zh-CN"/>
        </w:rPr>
        <w:t>kno</w:t>
      </w:r>
      <w:r w:rsidRPr="000E4F3C">
        <w:rPr>
          <w:i/>
          <w:lang w:eastAsia="zh-CN"/>
        </w:rPr>
        <w:t xml:space="preserve">wn information on UE </w:t>
      </w:r>
      <w:r w:rsidRPr="00F32CDC">
        <w:rPr>
          <w:i/>
          <w:lang w:eastAsia="zh-CN"/>
        </w:rPr>
        <w:t>locatio</w:t>
      </w:r>
      <w:r w:rsidRPr="002B2589">
        <w:rPr>
          <w:i/>
          <w:lang w:eastAsia="zh-CN"/>
        </w:rPr>
        <w:t xml:space="preserve">n and </w:t>
      </w:r>
      <w:r w:rsidRPr="00371BB0">
        <w:rPr>
          <w:i/>
          <w:lang w:eastAsia="zh-CN"/>
        </w:rPr>
        <w:t>satellite ephemeris   </w:t>
      </w:r>
    </w:p>
    <w:p w14:paraId="24CFE35F" w14:textId="77777777" w:rsidR="00793232" w:rsidRPr="00D50382" w:rsidRDefault="00793232" w:rsidP="00793232">
      <w:pPr>
        <w:pStyle w:val="afb"/>
        <w:numPr>
          <w:ilvl w:val="1"/>
          <w:numId w:val="11"/>
        </w:numPr>
        <w:snapToGrid w:val="0"/>
        <w:spacing w:line="240" w:lineRule="auto"/>
        <w:ind w:leftChars="0"/>
        <w:rPr>
          <w:i/>
          <w:lang w:eastAsia="zh-CN"/>
        </w:rPr>
      </w:pPr>
      <w:r w:rsidRPr="000E4F3C">
        <w:rPr>
          <w:rFonts w:eastAsia="SimSun" w:hint="eastAsia"/>
          <w:i/>
          <w:sz w:val="20"/>
          <w:lang w:val="en-GB" w:eastAsia="zh-CN"/>
        </w:rPr>
        <w:t>A</w:t>
      </w:r>
      <w:r w:rsidRPr="000E4F3C">
        <w:rPr>
          <w:rFonts w:eastAsia="SimSun"/>
          <w:i/>
          <w:sz w:val="20"/>
          <w:lang w:val="en-GB" w:eastAsia="zh-CN"/>
        </w:rPr>
        <w:t>dditional UE-specific TA indicated in RAR</w:t>
      </w:r>
      <w:r>
        <w:rPr>
          <w:rFonts w:eastAsia="SimSun"/>
          <w:i/>
          <w:sz w:val="20"/>
          <w:lang w:val="en-GB" w:eastAsia="zh-CN"/>
        </w:rPr>
        <w:t xml:space="preserve"> if needed</w:t>
      </w:r>
    </w:p>
    <w:p w14:paraId="56528136" w14:textId="77777777" w:rsidR="00793232" w:rsidRPr="00371BB0" w:rsidRDefault="00793232" w:rsidP="00793232">
      <w:pPr>
        <w:pStyle w:val="afb"/>
        <w:numPr>
          <w:ilvl w:val="1"/>
          <w:numId w:val="11"/>
        </w:numPr>
        <w:snapToGrid w:val="0"/>
        <w:spacing w:line="240" w:lineRule="auto"/>
        <w:ind w:leftChars="0"/>
        <w:rPr>
          <w:i/>
          <w:lang w:eastAsia="zh-CN"/>
        </w:rPr>
      </w:pPr>
      <w:r w:rsidRPr="00502F63">
        <w:rPr>
          <w:rFonts w:eastAsia="SimSun"/>
          <w:i/>
          <w:sz w:val="20"/>
          <w:lang w:val="en-GB" w:eastAsia="zh-CN"/>
        </w:rPr>
        <w:t xml:space="preserve">FFS on </w:t>
      </w:r>
      <w:r>
        <w:rPr>
          <w:rFonts w:eastAsia="SimSun"/>
          <w:i/>
          <w:sz w:val="20"/>
          <w:lang w:val="en-GB" w:eastAsia="zh-CN"/>
        </w:rPr>
        <w:t>method to obtain the satellite ephemeris.</w:t>
      </w:r>
    </w:p>
    <w:p w14:paraId="3633DC52" w14:textId="77777777" w:rsidR="00793232" w:rsidRPr="00D50382" w:rsidRDefault="00793232" w:rsidP="00793232">
      <w:pPr>
        <w:pStyle w:val="afb"/>
        <w:numPr>
          <w:ilvl w:val="1"/>
          <w:numId w:val="11"/>
        </w:numPr>
        <w:snapToGrid w:val="0"/>
        <w:spacing w:line="240" w:lineRule="auto"/>
        <w:ind w:leftChars="0"/>
        <w:rPr>
          <w:i/>
          <w:lang w:eastAsia="zh-CN"/>
        </w:rPr>
      </w:pPr>
      <w:r>
        <w:rPr>
          <w:rFonts w:eastAsia="SimSun"/>
          <w:i/>
          <w:sz w:val="20"/>
          <w:lang w:val="en-GB" w:eastAsia="zh-CN"/>
        </w:rPr>
        <w:t xml:space="preserve">FFS on the </w:t>
      </w:r>
      <w:r>
        <w:rPr>
          <w:i/>
          <w:sz w:val="21"/>
          <w:lang w:eastAsia="zh-CN"/>
        </w:rPr>
        <w:t>impacts on PRACH procedure</w:t>
      </w:r>
    </w:p>
    <w:p w14:paraId="0FF5E3BD" w14:textId="77777777" w:rsidR="00793232" w:rsidRPr="00793232" w:rsidRDefault="00793232" w:rsidP="00793232">
      <w:pPr>
        <w:rPr>
          <w:szCs w:val="22"/>
          <w:lang w:eastAsia="ko-KR"/>
        </w:rPr>
      </w:pPr>
    </w:p>
    <w:p w14:paraId="179725F6" w14:textId="3DB6F8E6" w:rsidR="0003686A" w:rsidRDefault="0003686A" w:rsidP="0003686A">
      <w:pPr>
        <w:rPr>
          <w:szCs w:val="22"/>
          <w:lang w:eastAsia="ko-KR"/>
        </w:rPr>
      </w:pPr>
      <w:r>
        <w:rPr>
          <w:szCs w:val="22"/>
          <w:lang w:eastAsia="ko-KR"/>
        </w:rPr>
        <w:t>With these elements</w:t>
      </w:r>
      <w:r w:rsidRPr="00314121">
        <w:rPr>
          <w:szCs w:val="22"/>
          <w:lang w:eastAsia="ko-KR"/>
        </w:rPr>
        <w:t>,</w:t>
      </w:r>
      <w:r>
        <w:rPr>
          <w:szCs w:val="22"/>
          <w:lang w:eastAsia="ko-KR"/>
        </w:rPr>
        <w:t xml:space="preserve"> we discuss further issues for more details.</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399E1B42" w14:textId="3214B342" w:rsidR="00203C04" w:rsidRDefault="00A57086" w:rsidP="00203C04">
      <w:pPr>
        <w:pStyle w:val="2"/>
        <w:spacing w:before="180" w:after="180" w:line="240" w:lineRule="auto"/>
        <w:ind w:left="578" w:hanging="578"/>
        <w:rPr>
          <w:lang w:eastAsia="ko-KR"/>
        </w:rPr>
      </w:pPr>
      <w:r>
        <w:rPr>
          <w:lang w:eastAsia="ko-KR"/>
        </w:rPr>
        <w:t xml:space="preserve">Common TA </w:t>
      </w:r>
    </w:p>
    <w:p w14:paraId="62DF4BCF" w14:textId="77777777" w:rsidR="00BF28A0" w:rsidRDefault="0015722A" w:rsidP="00BF28A0">
      <w:pPr>
        <w:keepNext/>
        <w:spacing w:before="120" w:after="120" w:line="240" w:lineRule="auto"/>
        <w:jc w:val="center"/>
      </w:pPr>
      <w:r>
        <w:br/>
      </w:r>
      <w:r w:rsidR="00BF28A0">
        <w:rPr>
          <w:rFonts w:eastAsia="맑은 고딕"/>
          <w:noProof/>
          <w:lang w:eastAsia="ko-KR"/>
        </w:rPr>
        <w:drawing>
          <wp:inline distT="0" distB="0" distL="0" distR="0" wp14:anchorId="5B70E05C" wp14:editId="1FFFD094">
            <wp:extent cx="2637398" cy="1542197"/>
            <wp:effectExtent l="0" t="0" r="0" b="127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6717" cy="1571036"/>
                    </a:xfrm>
                    <a:prstGeom prst="rect">
                      <a:avLst/>
                    </a:prstGeom>
                    <a:noFill/>
                  </pic:spPr>
                </pic:pic>
              </a:graphicData>
            </a:graphic>
          </wp:inline>
        </w:drawing>
      </w:r>
    </w:p>
    <w:p w14:paraId="4D5F88E6" w14:textId="04CC8100" w:rsidR="00BF28A0" w:rsidRPr="00BF28A0" w:rsidRDefault="00BF28A0" w:rsidP="00BF28A0">
      <w:pPr>
        <w:pStyle w:val="ad"/>
        <w:jc w:val="center"/>
        <w:rPr>
          <w:rFonts w:eastAsia="맑은 고딕"/>
          <w:b w:val="0"/>
          <w:lang w:eastAsia="ko-KR"/>
        </w:rPr>
      </w:pPr>
      <w:bookmarkStart w:id="4" w:name="_Ref7787704"/>
      <w:r w:rsidRPr="00BF28A0">
        <w:rPr>
          <w:b w:val="0"/>
        </w:rPr>
        <w:t xml:space="preserve">Fig </w:t>
      </w:r>
      <w:r w:rsidRPr="00BF28A0">
        <w:rPr>
          <w:b w:val="0"/>
        </w:rPr>
        <w:fldChar w:fldCharType="begin"/>
      </w:r>
      <w:r w:rsidRPr="00BF28A0">
        <w:rPr>
          <w:b w:val="0"/>
        </w:rPr>
        <w:instrText xml:space="preserve"> SEQ Fig \* ARABIC </w:instrText>
      </w:r>
      <w:r w:rsidRPr="00BF28A0">
        <w:rPr>
          <w:b w:val="0"/>
        </w:rPr>
        <w:fldChar w:fldCharType="separate"/>
      </w:r>
      <w:r>
        <w:rPr>
          <w:b w:val="0"/>
          <w:noProof/>
        </w:rPr>
        <w:t>2</w:t>
      </w:r>
      <w:r w:rsidRPr="00BF28A0">
        <w:rPr>
          <w:b w:val="0"/>
        </w:rPr>
        <w:fldChar w:fldCharType="end"/>
      </w:r>
      <w:bookmarkEnd w:id="4"/>
      <w:r w:rsidRPr="00BF28A0">
        <w:rPr>
          <w:b w:val="0"/>
        </w:rPr>
        <w:t>. Common TA</w:t>
      </w:r>
    </w:p>
    <w:p w14:paraId="203FDE74" w14:textId="77777777" w:rsidR="00BF28A0" w:rsidRDefault="00BF28A0" w:rsidP="00657D6D">
      <w:pPr>
        <w:spacing w:before="120" w:after="120" w:line="240" w:lineRule="auto"/>
        <w:rPr>
          <w:rFonts w:eastAsia="맑은 고딕"/>
          <w:lang w:eastAsia="ko-KR"/>
        </w:rPr>
      </w:pPr>
    </w:p>
    <w:p w14:paraId="3855CF1B" w14:textId="1CA300CC" w:rsidR="00657D6D" w:rsidRDefault="0020426E" w:rsidP="00657D6D">
      <w:pPr>
        <w:spacing w:before="120" w:after="120" w:line="240" w:lineRule="auto"/>
        <w:rPr>
          <w:rFonts w:eastAsia="맑은 고딕"/>
          <w:lang w:eastAsia="ko-KR"/>
        </w:rPr>
      </w:pPr>
      <w:r w:rsidRPr="0020426E">
        <w:rPr>
          <w:rFonts w:eastAsia="맑은 고딕"/>
          <w:lang w:eastAsia="ko-KR"/>
        </w:rPr>
        <w:t xml:space="preserve">In order for the UE to utilize the </w:t>
      </w:r>
      <w:r>
        <w:rPr>
          <w:rFonts w:eastAsia="맑은 고딕" w:hint="eastAsia"/>
          <w:lang w:eastAsia="ko-KR"/>
        </w:rPr>
        <w:t>c</w:t>
      </w:r>
      <w:r w:rsidRPr="0020426E">
        <w:rPr>
          <w:rFonts w:eastAsia="맑은 고딕"/>
          <w:lang w:eastAsia="ko-KR"/>
        </w:rPr>
        <w:t>ommon TA in the RACH process, the UE must acquire information on the common TA before the initial access. For this purpose, it is necessary to discuss the channel that transmits the common TA. The SIB1 and OSI</w:t>
      </w:r>
      <w:r>
        <w:rPr>
          <w:rFonts w:eastAsia="맑은 고딕"/>
          <w:lang w:eastAsia="ko-KR"/>
        </w:rPr>
        <w:t xml:space="preserve"> etc.</w:t>
      </w:r>
      <w:r w:rsidRPr="0020426E">
        <w:rPr>
          <w:rFonts w:eastAsia="맑은 고딕"/>
          <w:lang w:eastAsia="ko-KR"/>
        </w:rPr>
        <w:t xml:space="preserve"> can be considered as possible channel candidates for transmission. When transmitting to OSI,</w:t>
      </w:r>
      <w:r>
        <w:rPr>
          <w:rFonts w:eastAsia="맑은 고딕"/>
          <w:lang w:eastAsia="ko-KR"/>
        </w:rPr>
        <w:t xml:space="preserve"> the</w:t>
      </w:r>
      <w:r w:rsidRPr="0020426E">
        <w:rPr>
          <w:rFonts w:eastAsia="맑은 고딕"/>
          <w:lang w:eastAsia="ko-KR"/>
        </w:rPr>
        <w:t xml:space="preserve"> procedure</w:t>
      </w:r>
      <w:r>
        <w:rPr>
          <w:rFonts w:eastAsia="맑은 고딕"/>
          <w:lang w:eastAsia="ko-KR"/>
        </w:rPr>
        <w:t xml:space="preserve"> for acquiring common TA in</w:t>
      </w:r>
      <w:r w:rsidRPr="0020426E">
        <w:rPr>
          <w:rFonts w:eastAsia="맑은 고딕"/>
          <w:lang w:eastAsia="ko-KR"/>
        </w:rPr>
        <w:t xml:space="preserve"> OSI</w:t>
      </w:r>
      <w:r>
        <w:rPr>
          <w:rFonts w:eastAsia="맑은 고딕"/>
          <w:lang w:eastAsia="ko-KR"/>
        </w:rPr>
        <w:t xml:space="preserve"> </w:t>
      </w:r>
      <w:r w:rsidRPr="0020426E">
        <w:rPr>
          <w:rFonts w:eastAsia="맑은 고딕"/>
          <w:lang w:eastAsia="ko-KR"/>
        </w:rPr>
        <w:t>at initial access should be studied.</w:t>
      </w:r>
      <w:r>
        <w:rPr>
          <w:rFonts w:eastAsia="맑은 고딕"/>
          <w:lang w:eastAsia="ko-KR"/>
        </w:rPr>
        <w:t xml:space="preserve"> </w:t>
      </w:r>
      <w:r w:rsidRPr="0020426E">
        <w:rPr>
          <w:rFonts w:eastAsia="맑은 고딕"/>
          <w:lang w:eastAsia="ko-KR"/>
        </w:rPr>
        <w:t>If the common TA is a beam-specific value</w:t>
      </w:r>
      <w:r w:rsidR="00BF28A0">
        <w:rPr>
          <w:rFonts w:eastAsia="맑은 고딕"/>
          <w:lang w:eastAsia="ko-KR"/>
        </w:rPr>
        <w:t xml:space="preserve"> as shown in </w:t>
      </w:r>
      <w:r w:rsidR="00BF28A0" w:rsidRPr="00BF28A0">
        <w:rPr>
          <w:rFonts w:eastAsia="맑은 고딕"/>
          <w:lang w:eastAsia="ko-KR"/>
        </w:rPr>
        <w:fldChar w:fldCharType="begin"/>
      </w:r>
      <w:r w:rsidR="00BF28A0" w:rsidRPr="00BF28A0">
        <w:rPr>
          <w:rFonts w:eastAsia="맑은 고딕"/>
          <w:lang w:eastAsia="ko-KR"/>
        </w:rPr>
        <w:instrText xml:space="preserve"> REF _Ref7787704 \h  \* MERGEFORMAT </w:instrText>
      </w:r>
      <w:r w:rsidR="00BF28A0" w:rsidRPr="00BF28A0">
        <w:rPr>
          <w:rFonts w:eastAsia="맑은 고딕"/>
          <w:lang w:eastAsia="ko-KR"/>
        </w:rPr>
      </w:r>
      <w:r w:rsidR="00BF28A0" w:rsidRPr="00BF28A0">
        <w:rPr>
          <w:rFonts w:eastAsia="맑은 고딕"/>
          <w:lang w:eastAsia="ko-KR"/>
        </w:rPr>
        <w:fldChar w:fldCharType="separate"/>
      </w:r>
      <w:r w:rsidR="00BF28A0" w:rsidRPr="00BF28A0">
        <w:t xml:space="preserve">Fig </w:t>
      </w:r>
      <w:r w:rsidR="00BF28A0" w:rsidRPr="00BF28A0">
        <w:rPr>
          <w:noProof/>
        </w:rPr>
        <w:t>2</w:t>
      </w:r>
      <w:r w:rsidR="00BF28A0" w:rsidRPr="00BF28A0">
        <w:rPr>
          <w:rFonts w:eastAsia="맑은 고딕"/>
          <w:lang w:eastAsia="ko-KR"/>
        </w:rPr>
        <w:fldChar w:fldCharType="end"/>
      </w:r>
      <w:r w:rsidRPr="0020426E">
        <w:rPr>
          <w:rFonts w:eastAsia="맑은 고딕"/>
          <w:lang w:eastAsia="ko-KR"/>
        </w:rPr>
        <w:t xml:space="preserve">, a common TA per beam is required. When there are a plurality of beams in one cell, a plurality of common TAs must be indicated to the UE. </w:t>
      </w:r>
      <w:r w:rsidR="00FD2DBA" w:rsidRPr="00FD2DBA">
        <w:rPr>
          <w:rFonts w:eastAsia="맑은 고딕"/>
          <w:lang w:eastAsia="ko-KR"/>
        </w:rPr>
        <w:t>This leads to a lot of control overhead for information transfer.</w:t>
      </w:r>
      <w:r w:rsidRPr="0020426E">
        <w:rPr>
          <w:rFonts w:eastAsia="맑은 고딕"/>
          <w:lang w:eastAsia="ko-KR"/>
        </w:rPr>
        <w:t xml:space="preserve"> </w:t>
      </w:r>
      <w:r w:rsidR="00FE40AD" w:rsidRPr="00FE40AD">
        <w:rPr>
          <w:rFonts w:eastAsia="맑은 고딕"/>
          <w:lang w:eastAsia="ko-KR"/>
        </w:rPr>
        <w:t>A beam-based TA may be advantageous if the TA difference of each beam in the cell is large.</w:t>
      </w:r>
      <w:r w:rsidR="00FE40AD">
        <w:rPr>
          <w:rFonts w:eastAsia="맑은 고딕"/>
          <w:lang w:eastAsia="ko-KR"/>
        </w:rPr>
        <w:t xml:space="preserve"> </w:t>
      </w:r>
      <w:r w:rsidRPr="0020426E">
        <w:rPr>
          <w:rFonts w:eastAsia="맑은 고딕"/>
          <w:lang w:eastAsia="ko-KR"/>
        </w:rPr>
        <w:t xml:space="preserve">Therefore, </w:t>
      </w:r>
      <w:r w:rsidR="00FD2DBA" w:rsidRPr="0020426E">
        <w:rPr>
          <w:rFonts w:eastAsia="맑은 고딕"/>
          <w:lang w:eastAsia="ko-KR"/>
        </w:rPr>
        <w:t>whether to operate the common TA on a cell basis or on a beam basis</w:t>
      </w:r>
      <w:r w:rsidR="00FD2DBA" w:rsidRPr="00FD2DBA">
        <w:rPr>
          <w:rFonts w:eastAsia="맑은 고딕"/>
          <w:lang w:eastAsia="ko-KR"/>
        </w:rPr>
        <w:t xml:space="preserve"> should be jointly </w:t>
      </w:r>
      <w:r w:rsidR="00FD2DBA">
        <w:rPr>
          <w:rFonts w:eastAsia="맑은 고딕"/>
          <w:lang w:eastAsia="ko-KR"/>
        </w:rPr>
        <w:t>studied</w:t>
      </w:r>
      <w:r w:rsidR="00FD2DBA" w:rsidRPr="00FD2DBA">
        <w:rPr>
          <w:rFonts w:eastAsia="맑은 고딕"/>
          <w:lang w:eastAsia="ko-KR"/>
        </w:rPr>
        <w:t xml:space="preserve"> with the control overhead of the indication channel.</w:t>
      </w:r>
      <w:r w:rsidR="00657D6D">
        <w:rPr>
          <w:rFonts w:eastAsia="맑은 고딕"/>
          <w:lang w:eastAsia="ko-KR"/>
        </w:rPr>
        <w:t xml:space="preserve"> </w:t>
      </w:r>
      <w:r w:rsidR="00657D6D" w:rsidRPr="00657D6D">
        <w:rPr>
          <w:rFonts w:eastAsia="맑은 고딕"/>
          <w:lang w:eastAsia="ko-KR"/>
        </w:rPr>
        <w:t>In order to reduce the control overhead for multiple beam-specific common TA</w:t>
      </w:r>
      <w:r w:rsidR="00657D6D">
        <w:rPr>
          <w:rFonts w:eastAsia="맑은 고딕" w:hint="eastAsia"/>
          <w:lang w:eastAsia="ko-KR"/>
        </w:rPr>
        <w:t>s</w:t>
      </w:r>
      <w:r w:rsidR="00657D6D" w:rsidRPr="00657D6D">
        <w:rPr>
          <w:rFonts w:eastAsia="맑은 고딕"/>
          <w:lang w:eastAsia="ko-KR"/>
        </w:rPr>
        <w:t>, it can be indicated as a difference value for the representative value. In this case, the representative value may be set to a satellite-specific value.</w:t>
      </w:r>
      <w:r w:rsidR="00A007AA">
        <w:rPr>
          <w:rFonts w:eastAsia="맑은 고딕"/>
          <w:lang w:eastAsia="ko-KR"/>
        </w:rPr>
        <w:t xml:space="preserve"> </w:t>
      </w:r>
      <w:r w:rsidR="004720BC" w:rsidRPr="004720BC">
        <w:rPr>
          <w:rFonts w:eastAsia="맑은 고딕"/>
          <w:lang w:eastAsia="ko-KR"/>
        </w:rPr>
        <w:t>Alternatively, a common TA may be indicated by an index using a table.</w:t>
      </w:r>
    </w:p>
    <w:p w14:paraId="4B28AF85" w14:textId="624E66C3" w:rsidR="0020426E" w:rsidRPr="00FD2DBA" w:rsidRDefault="0020426E" w:rsidP="00CB24F8">
      <w:pPr>
        <w:spacing w:before="120" w:after="120" w:line="240" w:lineRule="auto"/>
        <w:rPr>
          <w:rFonts w:eastAsia="맑은 고딕"/>
          <w:lang w:eastAsia="ko-KR"/>
        </w:rPr>
      </w:pPr>
    </w:p>
    <w:p w14:paraId="455FF600" w14:textId="7EED51F7" w:rsidR="00FD2DBA" w:rsidRPr="00CB24F8" w:rsidRDefault="00FD2DBA" w:rsidP="00FD2DBA">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t>Proposal 1:</w:t>
      </w:r>
      <w:r w:rsidRPr="00CB24F8">
        <w:rPr>
          <w:rFonts w:eastAsia="바탕"/>
          <w:b/>
          <w:noProof/>
          <w:szCs w:val="22"/>
          <w:lang w:eastAsia="zh-CN"/>
        </w:rPr>
        <w:tab/>
      </w:r>
      <w:r>
        <w:rPr>
          <w:rFonts w:eastAsia="바탕"/>
          <w:b/>
          <w:noProof/>
          <w:szCs w:val="22"/>
          <w:lang w:eastAsia="zh-CN"/>
        </w:rPr>
        <w:t>W</w:t>
      </w:r>
      <w:r w:rsidRPr="00FD2DBA">
        <w:rPr>
          <w:rFonts w:eastAsia="바탕"/>
          <w:b/>
          <w:noProof/>
          <w:szCs w:val="22"/>
          <w:lang w:eastAsia="zh-CN"/>
        </w:rPr>
        <w:t>hether to operate the common TA on a cell basis or on a beam basis should be jointly studied with the control overhead of the indication channel.</w:t>
      </w:r>
    </w:p>
    <w:p w14:paraId="74C937FB" w14:textId="3EEC6772" w:rsidR="00FD2DBA" w:rsidRDefault="00FD2DBA" w:rsidP="00CB24F8">
      <w:pPr>
        <w:spacing w:before="120" w:after="120" w:line="240" w:lineRule="auto"/>
        <w:rPr>
          <w:rFonts w:eastAsia="맑은 고딕"/>
          <w:lang w:eastAsia="ko-KR"/>
        </w:rPr>
      </w:pPr>
    </w:p>
    <w:p w14:paraId="6E3111C2" w14:textId="3917C505" w:rsidR="00BB5145" w:rsidRDefault="00346515" w:rsidP="00CB24F8">
      <w:pPr>
        <w:spacing w:before="120" w:after="120" w:line="240" w:lineRule="auto"/>
        <w:rPr>
          <w:rFonts w:eastAsia="맑은 고딕"/>
          <w:lang w:eastAsia="ko-KR"/>
        </w:rPr>
      </w:pPr>
      <w:r w:rsidRPr="00346515">
        <w:rPr>
          <w:rFonts w:eastAsia="맑은 고딕"/>
          <w:lang w:eastAsia="ko-KR"/>
        </w:rPr>
        <w:t>In order for the UE to recognize the beam-</w:t>
      </w:r>
      <w:r>
        <w:rPr>
          <w:rFonts w:eastAsia="맑은 고딕" w:hint="eastAsia"/>
          <w:lang w:eastAsia="ko-KR"/>
        </w:rPr>
        <w:t>specific</w:t>
      </w:r>
      <w:r w:rsidRPr="00346515">
        <w:rPr>
          <w:rFonts w:eastAsia="맑은 고딕"/>
          <w:lang w:eastAsia="ko-KR"/>
        </w:rPr>
        <w:t xml:space="preserve"> common TA, a mapping relationship between the beam and the common TA is required. In the initial </w:t>
      </w:r>
      <w:r>
        <w:rPr>
          <w:rFonts w:eastAsia="맑은 고딕"/>
          <w:lang w:eastAsia="ko-KR"/>
        </w:rPr>
        <w:t>access</w:t>
      </w:r>
      <w:r w:rsidRPr="00346515">
        <w:rPr>
          <w:rFonts w:eastAsia="맑은 고딕"/>
          <w:lang w:eastAsia="ko-KR"/>
        </w:rPr>
        <w:t>, the beam can be estimated using SSB</w:t>
      </w:r>
      <w:r>
        <w:rPr>
          <w:rFonts w:eastAsia="맑은 고딕"/>
          <w:lang w:eastAsia="ko-KR"/>
        </w:rPr>
        <w:t>. In addition,</w:t>
      </w:r>
      <w:r w:rsidRPr="00346515">
        <w:rPr>
          <w:rFonts w:eastAsia="맑은 고딕"/>
          <w:lang w:eastAsia="ko-KR"/>
        </w:rPr>
        <w:t xml:space="preserve"> RACH occasion is mapped to SSB index. Therefore, it is necessary to know the mapping relationship between the SSB index and </w:t>
      </w:r>
      <w:r>
        <w:rPr>
          <w:rFonts w:eastAsia="맑은 고딕"/>
          <w:lang w:eastAsia="ko-KR"/>
        </w:rPr>
        <w:t>the common TA</w:t>
      </w:r>
      <w:r w:rsidRPr="00346515">
        <w:rPr>
          <w:rFonts w:eastAsia="맑은 고딕"/>
          <w:lang w:eastAsia="ko-KR"/>
        </w:rPr>
        <w:t xml:space="preserve">. </w:t>
      </w:r>
      <w:r w:rsidR="00BB5145" w:rsidRPr="00BB5145">
        <w:rPr>
          <w:rFonts w:eastAsia="맑은 고딕"/>
          <w:lang w:eastAsia="ko-KR"/>
        </w:rPr>
        <w:t xml:space="preserve">The SSB index is the index indicated in the DMRS of PBCH and PBCH, which may be equal to </w:t>
      </w:r>
      <w:r w:rsidR="00BB5145" w:rsidRPr="00BB5145">
        <w:rPr>
          <w:rFonts w:eastAsia="맑은 고딕"/>
          <w:lang w:eastAsia="ko-KR"/>
        </w:rPr>
        <w:lastRenderedPageBreak/>
        <w:t>or different from the beam index.</w:t>
      </w:r>
      <w:r w:rsidR="00BB5145">
        <w:rPr>
          <w:rFonts w:eastAsia="맑은 고딕"/>
          <w:lang w:eastAsia="ko-KR"/>
        </w:rPr>
        <w:t xml:space="preserve"> For this, the</w:t>
      </w:r>
      <w:r w:rsidR="00BB5145" w:rsidRPr="00BB5145">
        <w:rPr>
          <w:rFonts w:eastAsia="맑은 고딕"/>
          <w:lang w:eastAsia="ko-KR"/>
        </w:rPr>
        <w:t xml:space="preserve"> </w:t>
      </w:r>
      <w:r w:rsidR="00BB5145">
        <w:rPr>
          <w:rFonts w:eastAsia="맑은 고딕"/>
          <w:lang w:eastAsia="ko-KR"/>
        </w:rPr>
        <w:t>UE</w:t>
      </w:r>
      <w:r w:rsidR="00BB5145" w:rsidRPr="00BB5145">
        <w:rPr>
          <w:rFonts w:eastAsia="맑은 고딕"/>
          <w:lang w:eastAsia="ko-KR"/>
        </w:rPr>
        <w:t xml:space="preserve"> may utilize the premise that the SSB index and the beam index are the same. Alternatively, the SSB index may be transmitted along with the common TA.</w:t>
      </w:r>
      <w:r w:rsidR="003122A8">
        <w:rPr>
          <w:rFonts w:eastAsia="맑은 고딕"/>
          <w:lang w:eastAsia="ko-KR"/>
        </w:rPr>
        <w:t xml:space="preserve"> </w:t>
      </w:r>
    </w:p>
    <w:p w14:paraId="064A9E62" w14:textId="77777777" w:rsidR="00BB5145" w:rsidRDefault="00BB5145" w:rsidP="00CB24F8">
      <w:pPr>
        <w:spacing w:before="120" w:after="120" w:line="240" w:lineRule="auto"/>
        <w:rPr>
          <w:rFonts w:eastAsia="맑은 고딕"/>
          <w:lang w:eastAsia="ko-KR"/>
        </w:rPr>
      </w:pPr>
    </w:p>
    <w:p w14:paraId="7D9B0FF8" w14:textId="7DC2D69E" w:rsidR="00BB5145" w:rsidRPr="00CB24F8" w:rsidRDefault="00BB5145" w:rsidP="00BB5145">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BB5145">
        <w:rPr>
          <w:rFonts w:eastAsia="바탕"/>
          <w:b/>
          <w:noProof/>
          <w:szCs w:val="22"/>
          <w:lang w:eastAsia="zh-CN"/>
        </w:rPr>
        <w:t>When beam-specific common TA is used, it is necessary to consider the mapping relation between SSB index and common TA.</w:t>
      </w:r>
    </w:p>
    <w:p w14:paraId="640D308F" w14:textId="67BC89A4" w:rsidR="00346515" w:rsidRDefault="00346515" w:rsidP="00CB24F8">
      <w:pPr>
        <w:spacing w:before="120" w:after="120" w:line="240" w:lineRule="auto"/>
        <w:rPr>
          <w:rFonts w:eastAsia="맑은 고딕"/>
          <w:lang w:eastAsia="ko-KR"/>
        </w:rPr>
      </w:pPr>
    </w:p>
    <w:p w14:paraId="46F93603" w14:textId="0B73FFD8" w:rsidR="004720BC" w:rsidRDefault="008828DC" w:rsidP="00CB24F8">
      <w:pPr>
        <w:spacing w:before="120" w:after="120" w:line="240" w:lineRule="auto"/>
        <w:rPr>
          <w:rFonts w:eastAsia="맑은 고딕"/>
          <w:lang w:eastAsia="ko-KR"/>
        </w:rPr>
      </w:pPr>
      <w:r>
        <w:rPr>
          <w:rFonts w:eastAsia="맑은 고딕"/>
          <w:lang w:eastAsia="ko-KR"/>
        </w:rPr>
        <w:t>I</w:t>
      </w:r>
      <w:r w:rsidR="004720BC" w:rsidRPr="004720BC">
        <w:rPr>
          <w:rFonts w:eastAsia="맑은 고딕"/>
          <w:lang w:eastAsia="ko-KR"/>
        </w:rPr>
        <w:t xml:space="preserve">t is necessary to study how to use the </w:t>
      </w:r>
      <w:r>
        <w:rPr>
          <w:rFonts w:eastAsia="맑은 고딕"/>
          <w:lang w:eastAsia="ko-KR"/>
        </w:rPr>
        <w:t>UE</w:t>
      </w:r>
      <w:r w:rsidR="004720BC" w:rsidRPr="004720BC">
        <w:rPr>
          <w:rFonts w:eastAsia="맑은 고딕"/>
          <w:lang w:eastAsia="ko-KR"/>
        </w:rPr>
        <w:t xml:space="preserve"> in the RACH procedure after acquiring common TA. Reflecting the common TA at the transmission time of the PRACH preamble of the UE may help to allocate the RACH occasion resources and the connected UE resources</w:t>
      </w:r>
      <w:r>
        <w:rPr>
          <w:rFonts w:eastAsia="맑은 고딕"/>
          <w:lang w:eastAsia="ko-KR"/>
        </w:rPr>
        <w:t xml:space="preserve"> in </w:t>
      </w:r>
      <w:proofErr w:type="spellStart"/>
      <w:r>
        <w:rPr>
          <w:rFonts w:eastAsia="맑은 고딕"/>
          <w:lang w:eastAsia="ko-KR"/>
        </w:rPr>
        <w:t>gNB</w:t>
      </w:r>
      <w:proofErr w:type="spellEnd"/>
      <w:r w:rsidR="004720BC" w:rsidRPr="004720BC">
        <w:rPr>
          <w:rFonts w:eastAsia="맑은 고딕"/>
          <w:lang w:eastAsia="ko-KR"/>
        </w:rPr>
        <w:t xml:space="preserve">. In this case, the calculation method for the TA value included in the RAR can also be changed. In addition, </w:t>
      </w:r>
      <w:r w:rsidRPr="008828DC">
        <w:rPr>
          <w:rFonts w:eastAsia="맑은 고딕"/>
          <w:lang w:eastAsia="ko-KR"/>
        </w:rPr>
        <w:t>the power of the UE may be reduced by setting the interval of the RAR monitoring window start time after the transmission of the PRACH preamble of the UE to 2 * common TA.</w:t>
      </w:r>
      <w:r>
        <w:rPr>
          <w:rFonts w:eastAsia="맑은 고딕"/>
          <w:lang w:eastAsia="ko-KR"/>
        </w:rPr>
        <w:t xml:space="preserve"> </w:t>
      </w:r>
      <w:r w:rsidR="0072596E" w:rsidRPr="0072596E">
        <w:rPr>
          <w:rFonts w:eastAsia="맑은 고딕"/>
          <w:lang w:eastAsia="ko-KR"/>
        </w:rPr>
        <w:t>On the other hand, since the TA estimation may be inaccurate, it may be appropriate for the UE to proceed with the same RACH procedure regardless of the GNSS capability.</w:t>
      </w:r>
    </w:p>
    <w:p w14:paraId="5DDCA907" w14:textId="56B8367A" w:rsidR="004720BC" w:rsidRDefault="004720BC" w:rsidP="00CB24F8">
      <w:pPr>
        <w:spacing w:before="120" w:after="120" w:line="240" w:lineRule="auto"/>
        <w:rPr>
          <w:rFonts w:eastAsia="맑은 고딕"/>
          <w:lang w:eastAsia="ko-KR"/>
        </w:rPr>
      </w:pPr>
    </w:p>
    <w:p w14:paraId="33600980" w14:textId="429A2342" w:rsidR="004720BC" w:rsidRPr="00CB24F8" w:rsidRDefault="004720BC" w:rsidP="004720BC">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Pr="004720BC">
        <w:rPr>
          <w:rFonts w:eastAsia="바탕"/>
          <w:b/>
          <w:noProof/>
          <w:szCs w:val="22"/>
          <w:lang w:eastAsia="zh-CN"/>
        </w:rPr>
        <w:t>The common TA may be reflected in the PRACH preamble transmission time and the RAR monitoring window start time.</w:t>
      </w:r>
    </w:p>
    <w:p w14:paraId="740EB8D0" w14:textId="77777777" w:rsidR="004720BC" w:rsidRPr="004720BC" w:rsidRDefault="004720BC" w:rsidP="00CB24F8">
      <w:pPr>
        <w:spacing w:before="120" w:after="120" w:line="240" w:lineRule="auto"/>
        <w:rPr>
          <w:rFonts w:eastAsia="맑은 고딕"/>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362A0A3F" w14:textId="4B5E5639"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72596E">
        <w:rPr>
          <w:lang w:eastAsia="ko-KR"/>
        </w:rPr>
        <w:t>common TA</w:t>
      </w:r>
      <w:r>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05D7DAF9" w14:textId="347DDCA3" w:rsidR="00657D6D" w:rsidRPr="00CB24F8" w:rsidRDefault="00657D6D" w:rsidP="00657D6D">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t>Proposal 1:</w:t>
      </w:r>
      <w:r w:rsidRPr="00CB24F8">
        <w:rPr>
          <w:rFonts w:eastAsia="바탕"/>
          <w:b/>
          <w:noProof/>
          <w:szCs w:val="22"/>
          <w:lang w:eastAsia="zh-CN"/>
        </w:rPr>
        <w:tab/>
      </w:r>
      <w:r w:rsidR="0072596E" w:rsidRPr="0072596E">
        <w:rPr>
          <w:rFonts w:eastAsia="바탕"/>
          <w:b/>
          <w:noProof/>
          <w:szCs w:val="22"/>
          <w:lang w:eastAsia="zh-CN"/>
        </w:rPr>
        <w:t>Whether to operate the common TA on a cell basis or on a beam basis should be jointly studied with the control overhead of the indication channel.</w:t>
      </w:r>
    </w:p>
    <w:p w14:paraId="44F82BE4" w14:textId="338C65BE" w:rsidR="00657D6D" w:rsidRDefault="00657D6D" w:rsidP="00657D6D">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sidRPr="00CB24F8">
        <w:rPr>
          <w:rFonts w:eastAsia="바탕"/>
          <w:b/>
          <w:noProof/>
          <w:szCs w:val="22"/>
          <w:lang w:eastAsia="zh-CN"/>
        </w:rPr>
        <w:t>Proposal 2:</w:t>
      </w:r>
      <w:r w:rsidRPr="00CB24F8">
        <w:rPr>
          <w:rFonts w:eastAsia="바탕"/>
          <w:b/>
          <w:noProof/>
          <w:szCs w:val="22"/>
          <w:lang w:eastAsia="zh-CN"/>
        </w:rPr>
        <w:tab/>
      </w:r>
      <w:r w:rsidR="0072596E" w:rsidRPr="0072596E">
        <w:rPr>
          <w:rFonts w:eastAsia="바탕"/>
          <w:b/>
          <w:noProof/>
          <w:szCs w:val="22"/>
          <w:lang w:eastAsia="zh-CN"/>
        </w:rPr>
        <w:t>When beam-specific common TA is used, it is necessary to consider the mapping relation between SSB index and common TA.</w:t>
      </w:r>
    </w:p>
    <w:p w14:paraId="6CE1807E" w14:textId="77777777" w:rsidR="0072596E" w:rsidRPr="00CB24F8" w:rsidRDefault="0072596E" w:rsidP="0072596E">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Pr="004720BC">
        <w:rPr>
          <w:rFonts w:eastAsia="바탕"/>
          <w:b/>
          <w:noProof/>
          <w:szCs w:val="22"/>
          <w:lang w:eastAsia="zh-CN"/>
        </w:rPr>
        <w:t>The common TA may be reflected in the PRACH preamble transmission time and the RAR monitoring window start time.</w:t>
      </w: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BFDEB2D" w14:textId="77777777" w:rsidR="00657D6D" w:rsidRDefault="00657D6D" w:rsidP="00657D6D">
      <w:pPr>
        <w:numPr>
          <w:ilvl w:val="0"/>
          <w:numId w:val="6"/>
        </w:numPr>
        <w:tabs>
          <w:tab w:val="left" w:pos="810"/>
        </w:tabs>
        <w:spacing w:after="180"/>
        <w:contextualSpacing/>
        <w:rPr>
          <w:lang w:eastAsia="zh-CN"/>
        </w:rPr>
      </w:pPr>
      <w:r w:rsidRPr="00D80FC0">
        <w:rPr>
          <w:lang w:eastAsia="ko-KR"/>
        </w:rPr>
        <w:t>3GPP TR 38.811 V15.0.0 (2018-06)</w:t>
      </w:r>
    </w:p>
    <w:p w14:paraId="0734062D" w14:textId="77777777" w:rsidR="00657D6D" w:rsidRDefault="00657D6D" w:rsidP="00657D6D">
      <w:pPr>
        <w:numPr>
          <w:ilvl w:val="0"/>
          <w:numId w:val="6"/>
        </w:numPr>
        <w:tabs>
          <w:tab w:val="left" w:pos="810"/>
        </w:tabs>
        <w:spacing w:after="180"/>
        <w:contextualSpacing/>
        <w:rPr>
          <w:lang w:eastAsia="zh-CN"/>
        </w:rPr>
      </w:pPr>
      <w:r w:rsidRPr="002358B1">
        <w:rPr>
          <w:lang w:eastAsia="ko-KR"/>
        </w:rPr>
        <w:t>3GPP TSG-RAN WG2 meeting #105</w:t>
      </w:r>
      <w:r>
        <w:rPr>
          <w:lang w:eastAsia="ko-KR"/>
        </w:rPr>
        <w:t>, “</w:t>
      </w:r>
      <w:r w:rsidRPr="002358B1">
        <w:rPr>
          <w:lang w:eastAsia="ko-KR"/>
        </w:rPr>
        <w:t>Report of 3GPP TSG RAN2#105 meeting</w:t>
      </w:r>
      <w:r>
        <w:rPr>
          <w:lang w:eastAsia="ko-KR"/>
        </w:rPr>
        <w:t>”</w:t>
      </w:r>
    </w:p>
    <w:p w14:paraId="71DDA451" w14:textId="77777777" w:rsidR="00657D6D" w:rsidRDefault="00657D6D" w:rsidP="00657D6D">
      <w:pPr>
        <w:numPr>
          <w:ilvl w:val="0"/>
          <w:numId w:val="6"/>
        </w:numPr>
        <w:tabs>
          <w:tab w:val="left" w:pos="810"/>
        </w:tabs>
        <w:spacing w:after="180"/>
        <w:contextualSpacing/>
        <w:rPr>
          <w:lang w:eastAsia="zh-CN"/>
        </w:rPr>
      </w:pPr>
      <w:r w:rsidRPr="002C0E00">
        <w:rPr>
          <w:lang w:eastAsia="zh-CN"/>
        </w:rPr>
        <w:t>R1-1905812</w:t>
      </w:r>
      <w:r>
        <w:rPr>
          <w:lang w:eastAsia="zh-CN"/>
        </w:rPr>
        <w:t>, “</w:t>
      </w:r>
      <w:r w:rsidRPr="002C0E00">
        <w:rPr>
          <w:lang w:eastAsia="zh-CN"/>
        </w:rPr>
        <w:t>Updated summary of 7.2.5.3 on UL timing and PRACH</w:t>
      </w:r>
      <w:r>
        <w:rPr>
          <w:lang w:eastAsia="zh-CN"/>
        </w:rPr>
        <w:t>”</w:t>
      </w:r>
    </w:p>
    <w:sectPr w:rsidR="00657D6D" w:rsidSect="00345456">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FB2A8" w14:textId="77777777" w:rsidR="00CB274D" w:rsidRDefault="00CB274D">
      <w:r>
        <w:separator/>
      </w:r>
    </w:p>
  </w:endnote>
  <w:endnote w:type="continuationSeparator" w:id="0">
    <w:p w14:paraId="02C24EC6" w14:textId="77777777" w:rsidR="00CB274D" w:rsidRDefault="00CB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1467BFC6"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A4FFF">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A4FFF">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4A854" w14:textId="77777777" w:rsidR="00CB274D" w:rsidRDefault="00CB274D">
      <w:r>
        <w:separator/>
      </w:r>
    </w:p>
  </w:footnote>
  <w:footnote w:type="continuationSeparator" w:id="0">
    <w:p w14:paraId="4588831C" w14:textId="77777777" w:rsidR="00CB274D" w:rsidRDefault="00CB2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3"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10"/>
  </w:num>
  <w:num w:numId="5">
    <w:abstractNumId w:val="1"/>
  </w:num>
  <w:num w:numId="6">
    <w:abstractNumId w:val="6"/>
  </w:num>
  <w:num w:numId="7">
    <w:abstractNumId w:val="5"/>
  </w:num>
  <w:num w:numId="8">
    <w:abstractNumId w:val="9"/>
  </w:num>
  <w:num w:numId="9">
    <w:abstractNumId w:val="2"/>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08D"/>
    <w:rsid w:val="003F3930"/>
    <w:rsid w:val="003F39EA"/>
    <w:rsid w:val="003F424A"/>
    <w:rsid w:val="003F46D2"/>
    <w:rsid w:val="003F4CA0"/>
    <w:rsid w:val="003F4D5C"/>
    <w:rsid w:val="003F57A9"/>
    <w:rsid w:val="003F5D1D"/>
    <w:rsid w:val="003F631D"/>
    <w:rsid w:val="003F67F7"/>
    <w:rsid w:val="003F6CBB"/>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CF6F5-6A5D-49A7-AFDF-EB2628E2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8762</TotalTime>
  <Pages>3</Pages>
  <Words>895</Words>
  <Characters>5102</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김 지형</cp:lastModifiedBy>
  <cp:revision>84</cp:revision>
  <cp:lastPrinted>2017-09-11T11:14:00Z</cp:lastPrinted>
  <dcterms:created xsi:type="dcterms:W3CDTF">2017-10-01T04:49:00Z</dcterms:created>
  <dcterms:modified xsi:type="dcterms:W3CDTF">2019-05-03T06:26:00Z</dcterms:modified>
  <cp:category/>
</cp:coreProperties>
</file>